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0AC2" w:rsidRDefault="00225043">
      <w:r>
        <w:t>Bibliografía a Usar Recursos Humanos</w:t>
      </w:r>
    </w:p>
    <w:p w:rsidR="00225043" w:rsidRDefault="00225043"/>
    <w:p w:rsidR="00225043" w:rsidRDefault="00225043" w:rsidP="00225043">
      <w:pPr>
        <w:pStyle w:val="xmsonormal"/>
        <w:rPr>
          <w:color w:val="000000"/>
          <w:sz w:val="24"/>
          <w:szCs w:val="24"/>
        </w:rPr>
      </w:pPr>
      <w:hyperlink r:id="rId4" w:tgtFrame="_blank" w:history="1">
        <w:r>
          <w:rPr>
            <w:rStyle w:val="Hipervnculo"/>
            <w:sz w:val="24"/>
            <w:szCs w:val="24"/>
          </w:rPr>
          <w:t>https://blogs.iadb.org/administracion-publica/es/10-tareas-clave-para-mejorar-la-gestion-del-talento-humano-en-el-sector-publico/</w:t>
        </w:r>
      </w:hyperlink>
    </w:p>
    <w:p w:rsidR="00225043" w:rsidRDefault="00225043"/>
    <w:p w:rsidR="00225043" w:rsidRDefault="00225043" w:rsidP="00225043">
      <w:pPr>
        <w:pStyle w:val="xmsonormal"/>
        <w:rPr>
          <w:color w:val="000000"/>
          <w:sz w:val="24"/>
          <w:szCs w:val="24"/>
        </w:rPr>
      </w:pPr>
      <w:hyperlink r:id="rId5" w:history="1">
        <w:r>
          <w:rPr>
            <w:rStyle w:val="Hipervnculo"/>
            <w:sz w:val="24"/>
            <w:szCs w:val="24"/>
          </w:rPr>
          <w:t>https://blogs.iadb.org/administracion-publica/es/</w:t>
        </w:r>
      </w:hyperlink>
    </w:p>
    <w:p w:rsidR="00225043" w:rsidRDefault="00225043">
      <w:bookmarkStart w:id="0" w:name="_GoBack"/>
      <w:bookmarkEnd w:id="0"/>
    </w:p>
    <w:p w:rsidR="00225043" w:rsidRDefault="00225043"/>
    <w:p w:rsidR="00225043" w:rsidRDefault="00225043"/>
    <w:sectPr w:rsidR="0022504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043"/>
    <w:rsid w:val="001A0AC2"/>
    <w:rsid w:val="00225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C5F2706"/>
  <w15:chartTrackingRefBased/>
  <w15:docId w15:val="{D10E1E83-D246-431E-ACD7-516689655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225043"/>
    <w:rPr>
      <w:color w:val="0000FF"/>
      <w:u w:val="single"/>
    </w:rPr>
  </w:style>
  <w:style w:type="paragraph" w:customStyle="1" w:styleId="xmsonormal">
    <w:name w:val="x_msonormal"/>
    <w:basedOn w:val="Normal"/>
    <w:rsid w:val="00225043"/>
    <w:pPr>
      <w:spacing w:after="0" w:line="240" w:lineRule="auto"/>
    </w:pPr>
    <w:rPr>
      <w:rFonts w:ascii="Calibri" w:hAnsi="Calibri" w:cs="Calibri"/>
      <w:lang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0022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6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blogs.iadb.org/administracion-publica/es/" TargetMode="External"/><Relationship Id="rId4" Type="http://schemas.openxmlformats.org/officeDocument/2006/relationships/hyperlink" Target="https://blogs.iadb.org/administracion-publica/es/10-tareas-clave-para-mejorar-la-gestion-del-talento-humano-en-el-sector-publico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Daniel Carvajal Seas</dc:creator>
  <cp:keywords/>
  <dc:description/>
  <cp:lastModifiedBy>Christian Daniel Carvajal Seas</cp:lastModifiedBy>
  <cp:revision>1</cp:revision>
  <dcterms:created xsi:type="dcterms:W3CDTF">2019-06-12T21:29:00Z</dcterms:created>
  <dcterms:modified xsi:type="dcterms:W3CDTF">2019-06-12T21:31:00Z</dcterms:modified>
</cp:coreProperties>
</file>